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9B" w:rsidRPr="00ED156F" w:rsidRDefault="00FB249B" w:rsidP="00FB249B">
      <w:pPr>
        <w:rPr>
          <w:rFonts w:ascii="Times New Roman" w:hAnsi="Times New Roman" w:cs="Times New Roman"/>
          <w:lang w:val="lv-LV"/>
        </w:rPr>
      </w:pPr>
    </w:p>
    <w:p w:rsidR="00FB249B" w:rsidRPr="00ED156F" w:rsidRDefault="00FB249B" w:rsidP="00FB249B">
      <w:pPr>
        <w:pStyle w:val="1-3klase"/>
        <w:rPr>
          <w:rFonts w:ascii="Times New Roman" w:hAnsi="Times New Roman" w:cs="Times New Roman"/>
        </w:rPr>
      </w:pPr>
      <w:bookmarkStart w:id="0" w:name="_Toc84437494"/>
      <w:bookmarkStart w:id="1" w:name="_Toc84499593"/>
      <w:bookmarkStart w:id="2" w:name="Tavanākotne_tavapasaule_9kl"/>
      <w:r w:rsidRPr="00ED156F">
        <w:rPr>
          <w:rFonts w:ascii="Times New Roman" w:hAnsi="Times New Roman" w:cs="Times New Roman"/>
        </w:rPr>
        <w:t>9. klase</w:t>
      </w:r>
      <w:bookmarkEnd w:id="0"/>
      <w:bookmarkEnd w:id="1"/>
    </w:p>
    <w:p w:rsidR="00FB249B" w:rsidRDefault="00FB249B" w:rsidP="00FB249B">
      <w:pPr>
        <w:pStyle w:val="1-3tema"/>
        <w:rPr>
          <w:rFonts w:ascii="Times New Roman" w:hAnsi="Times New Roman" w:cs="Times New Roman"/>
          <w:b/>
          <w:bCs/>
        </w:rPr>
      </w:pPr>
      <w:bookmarkStart w:id="3" w:name="_Toc84499594"/>
      <w:bookmarkEnd w:id="2"/>
      <w:r>
        <w:rPr>
          <w:rFonts w:ascii="Times New Roman" w:hAnsi="Times New Roman" w:cs="Times New Roman"/>
          <w:b/>
          <w:bCs/>
        </w:rPr>
        <w:t>Modulis: Sabiedrības uzplaukums</w:t>
      </w:r>
    </w:p>
    <w:p w:rsidR="00FB249B" w:rsidRPr="00943BB4" w:rsidRDefault="00FB249B" w:rsidP="00FB249B">
      <w:pPr>
        <w:pStyle w:val="1-3tema"/>
        <w:rPr>
          <w:rFonts w:ascii="Times New Roman" w:hAnsi="Times New Roman" w:cs="Times New Roman"/>
          <w:b/>
        </w:rPr>
      </w:pPr>
      <w:r w:rsidRPr="00943BB4">
        <w:rPr>
          <w:rFonts w:ascii="Times New Roman" w:hAnsi="Times New Roman" w:cs="Times New Roman"/>
          <w:b/>
        </w:rPr>
        <w:t>Tēma: Tava nākotne, tava pasaule</w:t>
      </w:r>
      <w:bookmarkEnd w:id="3"/>
    </w:p>
    <w:p w:rsidR="00FB249B" w:rsidRDefault="00FB249B" w:rsidP="00FB249B">
      <w:pPr>
        <w:spacing w:after="0"/>
        <w:rPr>
          <w:rFonts w:ascii="Times New Roman" w:hAnsi="Times New Roman" w:cs="Times New Roman"/>
          <w:b/>
          <w:lang w:val="lv-LV"/>
        </w:rPr>
      </w:pPr>
    </w:p>
    <w:p w:rsidR="00FB249B" w:rsidRDefault="00FB249B" w:rsidP="00FB249B">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FB249B" w:rsidRDefault="00FB249B" w:rsidP="00FB249B">
      <w:pPr>
        <w:spacing w:after="0"/>
        <w:rPr>
          <w:rFonts w:ascii="Times New Roman" w:hAnsi="Times New Roman" w:cs="Times New Roman"/>
          <w:b/>
          <w:lang w:val="lv-LV"/>
        </w:rPr>
      </w:pPr>
    </w:p>
    <w:p w:rsidR="00FB249B" w:rsidRPr="00ED156F" w:rsidRDefault="00FB249B" w:rsidP="00FB249B">
      <w:pPr>
        <w:spacing w:after="0"/>
        <w:rPr>
          <w:rFonts w:ascii="Times New Roman" w:hAnsi="Times New Roman" w:cs="Times New Roman"/>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divās nodarbībās</w:t>
      </w:r>
      <w:r w:rsidRPr="00ED156F">
        <w:rPr>
          <w:rFonts w:ascii="Times New Roman" w:hAnsi="Times New Roman" w:cs="Times New Roman"/>
          <w:b/>
          <w:lang w:val="lv-LV"/>
        </w:rPr>
        <w:t>:</w:t>
      </w:r>
    </w:p>
    <w:p w:rsidR="00FB249B" w:rsidRPr="00ED156F" w:rsidRDefault="00FB249B" w:rsidP="00FB249B">
      <w:pPr>
        <w:spacing w:after="0"/>
        <w:rPr>
          <w:rFonts w:ascii="Times New Roman" w:hAnsi="Times New Roman" w:cs="Times New Roman"/>
          <w:lang w:val="lv-LV"/>
        </w:rPr>
      </w:pPr>
      <w:r w:rsidRPr="00ED156F">
        <w:rPr>
          <w:rFonts w:ascii="Times New Roman" w:hAnsi="Times New Roman" w:cs="Times New Roman"/>
          <w:lang w:val="lv-LV"/>
        </w:rPr>
        <w:t>1. nodarbība - Rakstura stingrība nākotnei</w:t>
      </w:r>
    </w:p>
    <w:p w:rsidR="00FB249B" w:rsidRPr="00ED156F" w:rsidRDefault="00FB249B" w:rsidP="00FB249B">
      <w:pPr>
        <w:spacing w:after="0"/>
        <w:rPr>
          <w:rFonts w:ascii="Times New Roman" w:hAnsi="Times New Roman" w:cs="Times New Roman"/>
          <w:lang w:val="lv-LV"/>
        </w:rPr>
      </w:pPr>
      <w:r w:rsidRPr="00ED156F">
        <w:rPr>
          <w:rFonts w:ascii="Times New Roman" w:hAnsi="Times New Roman" w:cs="Times New Roman"/>
          <w:lang w:val="lv-LV"/>
        </w:rPr>
        <w:t>2. nodarbība - Mācīšanās prasmes un tikumi</w:t>
      </w:r>
    </w:p>
    <w:p w:rsidR="00FB249B" w:rsidRPr="00ED156F" w:rsidRDefault="00FB249B" w:rsidP="00FB249B">
      <w:pPr>
        <w:spacing w:after="0"/>
        <w:rPr>
          <w:rFonts w:ascii="Times New Roman" w:hAnsi="Times New Roman" w:cs="Times New Roman"/>
          <w:b/>
          <w:lang w:val="lv-LV"/>
        </w:rPr>
      </w:pPr>
    </w:p>
    <w:p w:rsidR="00FB249B" w:rsidRPr="00ED156F" w:rsidRDefault="00FB249B" w:rsidP="00FB249B">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FB249B" w:rsidRPr="00ED156F" w:rsidRDefault="00FB249B" w:rsidP="00FB249B">
      <w:pPr>
        <w:spacing w:after="0"/>
        <w:rPr>
          <w:rFonts w:ascii="Times New Roman" w:hAnsi="Times New Roman" w:cs="Times New Roman"/>
          <w:b/>
          <w:i/>
          <w:lang w:val="lv-LV"/>
        </w:rPr>
      </w:pPr>
      <w:r w:rsidRPr="00ED156F">
        <w:rPr>
          <w:rFonts w:ascii="Times New Roman" w:hAnsi="Times New Roman" w:cs="Times New Roman"/>
          <w:b/>
          <w:i/>
          <w:lang w:val="lv-LV"/>
        </w:rPr>
        <w:t>Zināšanas: veicināt izpratnes veidošanos par to,</w:t>
      </w:r>
    </w:p>
    <w:p w:rsidR="00FB249B" w:rsidRPr="00ED156F" w:rsidRDefault="00FB249B" w:rsidP="00FB249B">
      <w:pPr>
        <w:pStyle w:val="Bulletline1"/>
        <w:numPr>
          <w:ilvl w:val="0"/>
          <w:numId w:val="24"/>
        </w:numPr>
      </w:pPr>
      <w:r w:rsidRPr="00ED156F">
        <w:t>kā rakstura iezīmes saistītas ar karjeras prasmēm;</w:t>
      </w:r>
    </w:p>
    <w:p w:rsidR="00FB249B" w:rsidRPr="00ED156F" w:rsidRDefault="00FB249B" w:rsidP="00FB249B">
      <w:pPr>
        <w:pStyle w:val="Bulletline1"/>
        <w:numPr>
          <w:ilvl w:val="0"/>
          <w:numId w:val="24"/>
        </w:numPr>
      </w:pPr>
      <w:r w:rsidRPr="00ED156F">
        <w:t>kā pašrefleksija var palīdzēt noskaidrot piemērotas karjeras iespējas;</w:t>
      </w:r>
    </w:p>
    <w:p w:rsidR="00FB249B" w:rsidRPr="00ED156F" w:rsidRDefault="00FB249B" w:rsidP="00FB249B">
      <w:pPr>
        <w:pStyle w:val="Bulletline1"/>
        <w:numPr>
          <w:ilvl w:val="0"/>
          <w:numId w:val="24"/>
        </w:numPr>
      </w:pPr>
      <w:r w:rsidRPr="00ED156F">
        <w:t>kuri tikumi viņiem ir vissvarīgākie;</w:t>
      </w:r>
    </w:p>
    <w:p w:rsidR="00FB249B" w:rsidRPr="00ED156F" w:rsidRDefault="00FB249B" w:rsidP="00FB249B">
      <w:pPr>
        <w:pStyle w:val="Bulletline1"/>
        <w:numPr>
          <w:ilvl w:val="0"/>
          <w:numId w:val="24"/>
        </w:numPr>
      </w:pPr>
      <w:r w:rsidRPr="00ED156F">
        <w:t>ka cilvēka intereses, prasmes un tikumi var mainīties ar laiku;</w:t>
      </w:r>
    </w:p>
    <w:p w:rsidR="00FB249B" w:rsidRPr="00ED156F" w:rsidRDefault="00FB249B" w:rsidP="00FB249B">
      <w:pPr>
        <w:pStyle w:val="Bulletline1"/>
        <w:numPr>
          <w:ilvl w:val="0"/>
          <w:numId w:val="24"/>
        </w:numPr>
      </w:pPr>
      <w:r w:rsidRPr="00ED156F">
        <w:t>ka ir nepieciešams izkopt tikumus, kas veicina mācīšanos visa mūža garumā;</w:t>
      </w:r>
    </w:p>
    <w:p w:rsidR="00FB249B" w:rsidRPr="00ED156F" w:rsidRDefault="00FB249B" w:rsidP="00FB249B">
      <w:pPr>
        <w:pStyle w:val="Bulletline1"/>
        <w:numPr>
          <w:ilvl w:val="0"/>
          <w:numId w:val="24"/>
        </w:numPr>
        <w:rPr>
          <w:color w:val="000000"/>
        </w:rPr>
      </w:pPr>
      <w:r w:rsidRPr="00ED156F">
        <w:rPr>
          <w:color w:val="000000" w:themeColor="text1"/>
        </w:rPr>
        <w:t>kādi ir galvenie mācīšanās šķēršļi un kā tos pārvarēt;</w:t>
      </w:r>
    </w:p>
    <w:p w:rsidR="00FB249B" w:rsidRPr="00ED156F" w:rsidRDefault="00FB249B" w:rsidP="00FB249B">
      <w:pPr>
        <w:pStyle w:val="Bulletline1"/>
        <w:numPr>
          <w:ilvl w:val="0"/>
          <w:numId w:val="24"/>
        </w:numPr>
      </w:pPr>
      <w:r w:rsidRPr="00ED156F">
        <w:rPr>
          <w:color w:val="000000" w:themeColor="text1"/>
        </w:rPr>
        <w:t xml:space="preserve">ka mācīšanās process ir zinātniski izpētīts un ka </w:t>
      </w:r>
      <w:r w:rsidRPr="00ED156F">
        <w:t>neiroplasticitāte  saistīta ar mācīšanās prasmju attīstīšanu.</w:t>
      </w:r>
    </w:p>
    <w:p w:rsidR="00FB249B" w:rsidRPr="00ED156F" w:rsidRDefault="00FB249B" w:rsidP="00FB249B">
      <w:pPr>
        <w:spacing w:after="0"/>
        <w:rPr>
          <w:rFonts w:ascii="Times New Roman" w:hAnsi="Times New Roman" w:cs="Times New Roman"/>
          <w:b/>
          <w:i/>
          <w:lang w:val="lv-LV"/>
        </w:rPr>
      </w:pPr>
      <w:r w:rsidRPr="00ED156F">
        <w:rPr>
          <w:rFonts w:ascii="Times New Roman" w:hAnsi="Times New Roman" w:cs="Times New Roman"/>
          <w:b/>
          <w:i/>
          <w:lang w:val="lv-LV"/>
        </w:rPr>
        <w:t>Morālās prasmes: sekmēt šādu morālo ieradumu veidošanos skolēnos:</w:t>
      </w:r>
    </w:p>
    <w:p w:rsidR="00FB249B" w:rsidRPr="00ED156F" w:rsidRDefault="00FB249B" w:rsidP="00FB249B">
      <w:pPr>
        <w:pStyle w:val="bulletline"/>
      </w:pPr>
      <w:r w:rsidRPr="00ED156F">
        <w:t>novērtēt un attīstīt savas mācīšanās un darbam nepieciešamās prasmes;</w:t>
      </w:r>
    </w:p>
    <w:p w:rsidR="00FB249B" w:rsidRPr="00ED156F" w:rsidRDefault="00FB249B" w:rsidP="00FB249B">
      <w:pPr>
        <w:pStyle w:val="bulletline"/>
        <w:rPr>
          <w:rFonts w:eastAsia="Calibri Light"/>
        </w:rPr>
      </w:pPr>
      <w:r w:rsidRPr="00ED156F">
        <w:rPr>
          <w:rFonts w:eastAsia="Calibri Light"/>
        </w:rPr>
        <w:t>novērtēt savas un citu cilvēku stipras puses un tikumus, kuri jāattīsta;</w:t>
      </w:r>
    </w:p>
    <w:p w:rsidR="00FB249B" w:rsidRPr="00ED156F" w:rsidRDefault="00FB249B" w:rsidP="00FB249B">
      <w:pPr>
        <w:pStyle w:val="bulletline"/>
        <w:rPr>
          <w:rFonts w:eastAsia="Calibri Light"/>
        </w:rPr>
      </w:pPr>
      <w:r w:rsidRPr="00ED156F">
        <w:rPr>
          <w:rFonts w:eastAsia="Calibri Light"/>
        </w:rPr>
        <w:t>izvirzīt savus dzīves un karjeras mērķus;</w:t>
      </w:r>
    </w:p>
    <w:p w:rsidR="00FB249B" w:rsidRPr="00ED156F" w:rsidRDefault="00FB249B" w:rsidP="00FB249B">
      <w:pPr>
        <w:pStyle w:val="bulletline"/>
      </w:pPr>
      <w:bookmarkStart w:id="4" w:name="_Hlk80621712"/>
      <w:r w:rsidRPr="00ED156F">
        <w:rPr>
          <w:rFonts w:eastAsia="Calibri Light"/>
          <w:color w:val="000000" w:themeColor="text1"/>
        </w:rPr>
        <w:t xml:space="preserve">iesaistīties kvalitatīvā mācīšanās procesā, izkopjot attiecīgos </w:t>
      </w:r>
      <w:r w:rsidRPr="00ED156F">
        <w:t>tikumus;</w:t>
      </w:r>
    </w:p>
    <w:p w:rsidR="00FB249B" w:rsidRPr="00ED156F" w:rsidRDefault="00FB249B" w:rsidP="00FB249B">
      <w:pPr>
        <w:pStyle w:val="bulletline"/>
      </w:pPr>
      <w:r w:rsidRPr="00ED156F">
        <w:t xml:space="preserve">pārvarēt šķēršļus, lai mācītos kvalitatīvi </w:t>
      </w:r>
      <w:r w:rsidRPr="00ED156F">
        <w:rPr>
          <w:rFonts w:eastAsia="Calibri Light"/>
          <w:color w:val="000000" w:themeColor="text1"/>
        </w:rPr>
        <w:t>visa mūža garumā.</w:t>
      </w:r>
      <w:r w:rsidRPr="00ED156F">
        <w:t xml:space="preserve">  </w:t>
      </w:r>
    </w:p>
    <w:bookmarkEnd w:id="4"/>
    <w:p w:rsidR="00FB249B" w:rsidRPr="00ED156F" w:rsidRDefault="00FB249B" w:rsidP="00FB249B">
      <w:pPr>
        <w:spacing w:after="0"/>
        <w:rPr>
          <w:rFonts w:ascii="Times New Roman" w:hAnsi="Times New Roman" w:cs="Times New Roman"/>
          <w:lang w:val="lv-LV"/>
        </w:rPr>
      </w:pPr>
    </w:p>
    <w:p w:rsidR="00FB249B" w:rsidRPr="00DD19EB" w:rsidRDefault="00FB249B" w:rsidP="00FB249B">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FB249B" w:rsidRPr="00DD19EB" w:rsidTr="00951E7C">
        <w:tc>
          <w:tcPr>
            <w:tcW w:w="634" w:type="pct"/>
            <w:tcBorders>
              <w:top w:val="single" w:sz="4" w:space="0" w:color="auto"/>
              <w:bottom w:val="single" w:sz="4" w:space="0" w:color="auto"/>
            </w:tcBorders>
          </w:tcPr>
          <w:p w:rsidR="00FB249B" w:rsidRPr="00DD19EB" w:rsidRDefault="00FB249B"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FB249B" w:rsidRPr="00DD19EB" w:rsidRDefault="00FB249B"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FB249B" w:rsidRPr="00DD19EB" w:rsidRDefault="00FB249B"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FB249B" w:rsidRPr="00DD19EB" w:rsidTr="00951E7C">
        <w:tc>
          <w:tcPr>
            <w:tcW w:w="634" w:type="pct"/>
            <w:tcBorders>
              <w:top w:val="single" w:sz="4" w:space="0" w:color="auto"/>
            </w:tcBorders>
          </w:tcPr>
          <w:p w:rsidR="00FB249B" w:rsidRPr="00DD19EB" w:rsidRDefault="00FB249B"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FB249B" w:rsidRPr="003B171D" w:rsidRDefault="00FB249B" w:rsidP="00951E7C">
            <w:pPr>
              <w:pStyle w:val="Tabuaiek"/>
              <w:rPr>
                <w:sz w:val="22"/>
                <w:szCs w:val="22"/>
              </w:rPr>
            </w:pPr>
            <w:r w:rsidRPr="003B171D">
              <w:rPr>
                <w:sz w:val="22"/>
                <w:szCs w:val="22"/>
              </w:rPr>
              <w:t>Cilvēka cieņa, darbs</w:t>
            </w:r>
          </w:p>
        </w:tc>
        <w:tc>
          <w:tcPr>
            <w:tcW w:w="2183" w:type="pct"/>
            <w:tcBorders>
              <w:top w:val="single" w:sz="4" w:space="0" w:color="auto"/>
            </w:tcBorders>
          </w:tcPr>
          <w:p w:rsidR="00FB249B" w:rsidRPr="003B171D" w:rsidRDefault="00FB249B" w:rsidP="00951E7C">
            <w:pPr>
              <w:pStyle w:val="Tabuaiek"/>
              <w:rPr>
                <w:sz w:val="22"/>
                <w:szCs w:val="22"/>
              </w:rPr>
            </w:pPr>
            <w:r w:rsidRPr="003B171D">
              <w:rPr>
                <w:sz w:val="22"/>
                <w:szCs w:val="22"/>
              </w:rPr>
              <w:t>Cilvēks, atbildība, patiesība</w:t>
            </w:r>
          </w:p>
        </w:tc>
      </w:tr>
      <w:tr w:rsidR="00FB249B" w:rsidRPr="00DD19EB" w:rsidTr="00951E7C">
        <w:tc>
          <w:tcPr>
            <w:tcW w:w="634" w:type="pct"/>
            <w:tcBorders>
              <w:bottom w:val="single" w:sz="4" w:space="0" w:color="auto"/>
            </w:tcBorders>
          </w:tcPr>
          <w:p w:rsidR="00FB249B" w:rsidRPr="00DD19EB" w:rsidRDefault="00FB249B"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FB249B" w:rsidRPr="003B171D" w:rsidRDefault="00FB249B" w:rsidP="00951E7C">
            <w:pPr>
              <w:pStyle w:val="Tabuaiek"/>
              <w:rPr>
                <w:sz w:val="22"/>
                <w:szCs w:val="22"/>
              </w:rPr>
            </w:pPr>
            <w:r w:rsidRPr="003B171D">
              <w:rPr>
                <w:sz w:val="22"/>
                <w:szCs w:val="22"/>
              </w:rPr>
              <w:t>Gudrība, atbildība, godīgums, taisnīgums, centība, drosme</w:t>
            </w:r>
          </w:p>
        </w:tc>
        <w:tc>
          <w:tcPr>
            <w:tcW w:w="2183" w:type="pct"/>
            <w:tcBorders>
              <w:bottom w:val="single" w:sz="4" w:space="0" w:color="auto"/>
            </w:tcBorders>
          </w:tcPr>
          <w:p w:rsidR="00FB249B" w:rsidRPr="003B171D" w:rsidRDefault="00FB249B" w:rsidP="00951E7C">
            <w:pPr>
              <w:pStyle w:val="Tabuaiek"/>
              <w:rPr>
                <w:sz w:val="22"/>
                <w:szCs w:val="22"/>
              </w:rPr>
            </w:pPr>
            <w:r w:rsidRPr="003B171D">
              <w:rPr>
                <w:sz w:val="22"/>
                <w:szCs w:val="22"/>
              </w:rPr>
              <w:t>Kritiskā spriestspēja, zinātkāre, pašiedziļināšanās, apņēmīgums</w:t>
            </w:r>
          </w:p>
        </w:tc>
      </w:tr>
    </w:tbl>
    <w:p w:rsidR="00FB249B" w:rsidRPr="00024279" w:rsidRDefault="00FB249B" w:rsidP="00FB249B">
      <w:pPr>
        <w:spacing w:after="0"/>
        <w:rPr>
          <w:rFonts w:eastAsia="Segoe UI Symbol"/>
          <w:b/>
        </w:rPr>
      </w:pPr>
    </w:p>
    <w:p w:rsidR="00FB249B" w:rsidRPr="00ED156F" w:rsidRDefault="00FB249B" w:rsidP="00FB249B">
      <w:pPr>
        <w:spacing w:after="0"/>
        <w:rPr>
          <w:rFonts w:ascii="Times New Roman" w:hAnsi="Times New Roman" w:cs="Times New Roman"/>
          <w:b/>
          <w:lang w:val="lv-LV"/>
        </w:rPr>
      </w:pPr>
      <w:r w:rsidRPr="00ED156F">
        <w:rPr>
          <w:rFonts w:ascii="Times New Roman" w:hAnsi="Times New Roman" w:cs="Times New Roman"/>
          <w:b/>
          <w:lang w:val="lv-LV"/>
        </w:rPr>
        <w:t>Tikumu praktizēšanas iespējas</w:t>
      </w:r>
    </w:p>
    <w:p w:rsidR="00FB249B" w:rsidRPr="00ED156F" w:rsidRDefault="00FB249B" w:rsidP="00FB249B">
      <w:pPr>
        <w:pStyle w:val="bulletline"/>
      </w:pPr>
      <w:r w:rsidRPr="00ED156F">
        <w:t xml:space="preserve">Skolēni varētu kopīgi izpētīt (zinātkāre) Latvijā esošās programmas, kas palīdz jauniešiem izzināt sevi un domāt par savu nākotni, izvērtēt tās un apņemties iesaistītes kādā no tām (pazemība, drosme). Viņi varētu dalīties klasē ar saviem atklājumiem. </w:t>
      </w:r>
    </w:p>
    <w:p w:rsidR="00FB249B" w:rsidRPr="00ED156F" w:rsidRDefault="00FB249B" w:rsidP="00FB249B">
      <w:pPr>
        <w:pStyle w:val="bulletline"/>
      </w:pPr>
      <w:r w:rsidRPr="00ED156F">
        <w:t>Skolēni varētu aizpildīt pielāgoto VIA aptauju (1. materiāls), kas palīdz noteikt skolēna spēcīgākās rakstura iezīmes, un pārdomāt, kuri tikumi viņiem ir vissvarīgākie. Pēc tam viņi varētu pārrunāt šos rezultātus ar karjeras konsultantu.</w:t>
      </w:r>
    </w:p>
    <w:p w:rsidR="00FB249B" w:rsidRDefault="00FB249B" w:rsidP="00FB249B">
      <w:pPr>
        <w:pStyle w:val="bulletline"/>
      </w:pPr>
      <w:r w:rsidRPr="00ED156F">
        <w:t>Skolēni varētu izveidot dienasgrāmatas ierakstu, atspoguļojot savas idejas attiecībā uz turpmāko izglītības ievirzi vai tālāku nākotni un karjeru, uz kuru viņi gribētu virzīties.</w:t>
      </w:r>
    </w:p>
    <w:p w:rsidR="00FB249B" w:rsidRDefault="00FB249B" w:rsidP="00FB249B">
      <w:pPr>
        <w:pStyle w:val="Bullets"/>
        <w:numPr>
          <w:ilvl w:val="0"/>
          <w:numId w:val="0"/>
        </w:numPr>
        <w:ind w:left="720" w:hanging="360"/>
      </w:pPr>
    </w:p>
    <w:p w:rsidR="00FB249B" w:rsidRPr="00ED156F" w:rsidRDefault="00FB249B" w:rsidP="00FB249B">
      <w:pPr>
        <w:pStyle w:val="Bullets"/>
        <w:numPr>
          <w:ilvl w:val="0"/>
          <w:numId w:val="0"/>
        </w:numPr>
        <w:ind w:left="720" w:hanging="360"/>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ED" w:rsidRDefault="003914ED" w:rsidP="00FE37EB">
      <w:pPr>
        <w:spacing w:after="0"/>
      </w:pPr>
      <w:r>
        <w:separator/>
      </w:r>
    </w:p>
  </w:endnote>
  <w:endnote w:type="continuationSeparator" w:id="0">
    <w:p w:rsidR="003914ED" w:rsidRDefault="003914ED" w:rsidP="00FE37EB">
      <w:pPr>
        <w:spacing w:after="0"/>
      </w:pPr>
      <w:r>
        <w:continuationSeparator/>
      </w:r>
    </w:p>
  </w:endnote>
  <w:endnote w:type="continuationNotice" w:id="1">
    <w:p w:rsidR="003914ED" w:rsidRDefault="003914ED">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ED" w:rsidRDefault="003914ED" w:rsidP="00FE37EB">
      <w:pPr>
        <w:spacing w:after="0"/>
      </w:pPr>
      <w:r>
        <w:separator/>
      </w:r>
    </w:p>
  </w:footnote>
  <w:footnote w:type="continuationSeparator" w:id="0">
    <w:p w:rsidR="003914ED" w:rsidRDefault="003914ED" w:rsidP="00FE37EB">
      <w:pPr>
        <w:spacing w:after="0"/>
      </w:pPr>
      <w:r>
        <w:continuationSeparator/>
      </w:r>
    </w:p>
  </w:footnote>
  <w:footnote w:type="continuationNotice" w:id="1">
    <w:p w:rsidR="003914ED" w:rsidRDefault="003914E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9B" w:rsidRPr="00DD22BA" w:rsidRDefault="00FB249B" w:rsidP="00DD22BA">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-69850</wp:posOffset>
          </wp:positionV>
          <wp:extent cx="800100" cy="333375"/>
          <wp:effectExtent l="0" t="0" r="0" b="0"/>
          <wp:wrapNone/>
          <wp:docPr id="14066742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DD22BA">
      <w:t>TĒMAS LAPA</w:t>
    </w:r>
  </w:p>
  <w:p w:rsidR="00FB249B" w:rsidRPr="00DD22BA" w:rsidRDefault="00FB249B" w:rsidP="00DD22BA">
    <w:pPr>
      <w:pStyle w:val="A-galvene"/>
    </w:pPr>
  </w:p>
  <w:p w:rsidR="00FB249B" w:rsidRPr="00DD22BA" w:rsidRDefault="00FB249B" w:rsidP="00DD22BA">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914ED"/>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14ED"/>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4E4"/>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49B"/>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9B"/>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FB249B"/>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FB249B"/>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DCD8DAF-EB91-450A-A1FA-679E5F0C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1359</Words>
  <Characters>775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2130</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2021-10-15T09:22:00Z</dcterms:created>
  <dcterms:modified xsi:type="dcterms:W3CDTF">2021-10-15T09:23:00Z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