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26" w:rsidRPr="00ED156F" w:rsidRDefault="00774926" w:rsidP="00774926">
      <w:pPr>
        <w:pStyle w:val="1-3klase"/>
        <w:rPr>
          <w:rFonts w:ascii="Times New Roman" w:hAnsi="Times New Roman" w:cs="Times New Roman"/>
        </w:rPr>
      </w:pPr>
      <w:bookmarkStart w:id="0" w:name="_Toc84437510"/>
      <w:bookmarkStart w:id="1" w:name="_Toc84499609"/>
      <w:r w:rsidRPr="00ED156F">
        <w:rPr>
          <w:rFonts w:ascii="Times New Roman" w:hAnsi="Times New Roman" w:cs="Times New Roman"/>
        </w:rPr>
        <w:t>9. klase</w:t>
      </w:r>
      <w:bookmarkEnd w:id="0"/>
      <w:bookmarkEnd w:id="1"/>
    </w:p>
    <w:p w:rsidR="00774926" w:rsidRDefault="00774926" w:rsidP="00774926">
      <w:pPr>
        <w:pStyle w:val="1-3tema"/>
        <w:rPr>
          <w:rFonts w:ascii="Times New Roman" w:hAnsi="Times New Roman" w:cs="Times New Roman"/>
          <w:b/>
          <w:bCs/>
        </w:rPr>
      </w:pPr>
      <w:bookmarkStart w:id="2" w:name="_Toc84499610"/>
      <w:r>
        <w:rPr>
          <w:rFonts w:ascii="Times New Roman" w:hAnsi="Times New Roman" w:cs="Times New Roman"/>
          <w:b/>
          <w:bCs/>
        </w:rPr>
        <w:t>Modulis: Uzplaukums digitālā vidē</w:t>
      </w:r>
    </w:p>
    <w:p w:rsidR="00774926" w:rsidRPr="00943BB4" w:rsidRDefault="00774926" w:rsidP="00774926">
      <w:pPr>
        <w:pStyle w:val="1-3tema"/>
        <w:rPr>
          <w:rFonts w:ascii="Times New Roman" w:hAnsi="Times New Roman" w:cs="Times New Roman"/>
          <w:b/>
        </w:rPr>
      </w:pPr>
      <w:r w:rsidRPr="00943BB4">
        <w:rPr>
          <w:rFonts w:ascii="Times New Roman" w:hAnsi="Times New Roman" w:cs="Times New Roman"/>
          <w:b/>
        </w:rPr>
        <w:t>Tēma: Tiešsaistes pasaule</w:t>
      </w:r>
      <w:bookmarkEnd w:id="2"/>
    </w:p>
    <w:p w:rsidR="00774926" w:rsidRDefault="00774926" w:rsidP="00774926">
      <w:pPr>
        <w:spacing w:after="0"/>
        <w:rPr>
          <w:rFonts w:ascii="Times New Roman" w:hAnsi="Times New Roman" w:cs="Times New Roman"/>
          <w:b/>
          <w:lang w:val="lv-LV"/>
        </w:rPr>
      </w:pPr>
    </w:p>
    <w:p w:rsidR="00774926" w:rsidRDefault="00774926" w:rsidP="00774926">
      <w:pPr>
        <w:spacing w:after="0"/>
        <w:jc w:val="center"/>
        <w:rPr>
          <w:rFonts w:ascii="Times New Roman" w:hAnsi="Times New Roman" w:cs="Times New Roman"/>
          <w:b/>
          <w:lang w:val="lv-LV"/>
        </w:rPr>
      </w:pPr>
      <w:r w:rsidRPr="004676B9">
        <w:rPr>
          <w:rFonts w:ascii="Times New Roman" w:hAnsi="Times New Roman" w:cs="Times New Roman"/>
          <w:b/>
          <w:sz w:val="24"/>
          <w:lang w:val="lv-LV"/>
        </w:rPr>
        <w:t>Tēmas atsegums</w:t>
      </w:r>
    </w:p>
    <w:p w:rsidR="00774926" w:rsidRDefault="00774926" w:rsidP="00774926">
      <w:pPr>
        <w:spacing w:after="0"/>
        <w:rPr>
          <w:rFonts w:ascii="Times New Roman" w:hAnsi="Times New Roman" w:cs="Times New Roman"/>
          <w:b/>
          <w:lang w:val="lv-LV"/>
        </w:rPr>
      </w:pPr>
    </w:p>
    <w:p w:rsidR="00774926" w:rsidRPr="00ED156F" w:rsidRDefault="00774926" w:rsidP="00774926">
      <w:pPr>
        <w:spacing w:after="0"/>
        <w:rPr>
          <w:rFonts w:ascii="Times New Roman" w:hAnsi="Times New Roman" w:cs="Times New Roman"/>
          <w:b/>
          <w:lang w:val="lv-LV"/>
        </w:rPr>
      </w:pPr>
      <w:r>
        <w:rPr>
          <w:rFonts w:ascii="Times New Roman" w:hAnsi="Times New Roman" w:cs="Times New Roman"/>
          <w:b/>
          <w:lang w:val="lv-LV"/>
        </w:rPr>
        <w:t>Tēmas apguve strukturēta</w:t>
      </w:r>
      <w:r w:rsidRPr="00ED156F">
        <w:rPr>
          <w:rFonts w:ascii="Times New Roman" w:hAnsi="Times New Roman" w:cs="Times New Roman"/>
          <w:b/>
          <w:lang w:val="lv-LV"/>
        </w:rPr>
        <w:t xml:space="preserve">  </w:t>
      </w:r>
      <w:r>
        <w:rPr>
          <w:rFonts w:ascii="Times New Roman" w:hAnsi="Times New Roman" w:cs="Times New Roman"/>
          <w:b/>
          <w:lang w:val="lv-LV"/>
        </w:rPr>
        <w:t>divās nodarbībās</w:t>
      </w:r>
      <w:r w:rsidRPr="00ED156F">
        <w:rPr>
          <w:rFonts w:ascii="Times New Roman" w:hAnsi="Times New Roman" w:cs="Times New Roman"/>
          <w:b/>
          <w:lang w:val="lv-LV"/>
        </w:rPr>
        <w:t>:</w:t>
      </w:r>
    </w:p>
    <w:p w:rsidR="00774926" w:rsidRPr="00ED156F" w:rsidRDefault="00774926" w:rsidP="00774926">
      <w:pPr>
        <w:spacing w:after="0"/>
        <w:rPr>
          <w:rFonts w:ascii="Times New Roman" w:hAnsi="Times New Roman" w:cs="Times New Roman"/>
          <w:lang w:val="lv-LV"/>
        </w:rPr>
      </w:pPr>
      <w:r w:rsidRPr="00ED156F">
        <w:rPr>
          <w:rFonts w:ascii="Times New Roman" w:hAnsi="Times New Roman" w:cs="Times New Roman"/>
          <w:lang w:val="lv-LV"/>
        </w:rPr>
        <w:t>1. nodarbība- Tiešsaistes azartspēles un atkarība</w:t>
      </w:r>
    </w:p>
    <w:p w:rsidR="00774926" w:rsidRPr="00ED156F" w:rsidRDefault="00774926" w:rsidP="00774926">
      <w:pPr>
        <w:spacing w:after="0"/>
        <w:rPr>
          <w:rFonts w:ascii="Times New Roman" w:hAnsi="Times New Roman" w:cs="Times New Roman"/>
          <w:lang w:val="lv-LV"/>
        </w:rPr>
      </w:pPr>
      <w:r w:rsidRPr="00ED156F">
        <w:rPr>
          <w:rFonts w:ascii="Times New Roman" w:hAnsi="Times New Roman" w:cs="Times New Roman"/>
          <w:lang w:val="lv-LV"/>
        </w:rPr>
        <w:t>2. nodarbība-Tiešsaistes azartspēles, impulsivitāte un atliktais gandarījums</w:t>
      </w:r>
    </w:p>
    <w:p w:rsidR="00774926" w:rsidRDefault="00774926" w:rsidP="00774926">
      <w:pPr>
        <w:spacing w:after="0"/>
        <w:rPr>
          <w:rFonts w:ascii="Times New Roman" w:hAnsi="Times New Roman" w:cs="Times New Roman"/>
          <w:b/>
          <w:lang w:val="lv-LV"/>
        </w:rPr>
      </w:pPr>
    </w:p>
    <w:p w:rsidR="00774926" w:rsidRPr="00ED156F" w:rsidRDefault="00774926" w:rsidP="00774926">
      <w:pPr>
        <w:spacing w:after="0"/>
        <w:rPr>
          <w:rFonts w:ascii="Times New Roman" w:hAnsi="Times New Roman" w:cs="Times New Roman"/>
          <w:lang w:val="lv-LV"/>
        </w:rPr>
      </w:pPr>
      <w:r w:rsidRPr="00ED156F">
        <w:rPr>
          <w:rFonts w:ascii="Times New Roman" w:hAnsi="Times New Roman" w:cs="Times New Roman"/>
          <w:b/>
          <w:lang w:val="lv-LV"/>
        </w:rPr>
        <w:t>Tēmas apguves mērķi</w:t>
      </w:r>
    </w:p>
    <w:p w:rsidR="00774926" w:rsidRPr="00ED156F" w:rsidRDefault="00774926" w:rsidP="00774926">
      <w:pPr>
        <w:spacing w:after="0"/>
        <w:rPr>
          <w:rFonts w:ascii="Times New Roman" w:hAnsi="Times New Roman" w:cs="Times New Roman"/>
          <w:b/>
          <w:i/>
          <w:lang w:val="lv-LV"/>
        </w:rPr>
      </w:pPr>
      <w:r w:rsidRPr="00ED156F">
        <w:rPr>
          <w:rFonts w:ascii="Times New Roman" w:hAnsi="Times New Roman" w:cs="Times New Roman"/>
          <w:b/>
          <w:i/>
          <w:lang w:val="lv-LV"/>
        </w:rPr>
        <w:t>Zināšanas: veicināt izpratnes veidošanos par to,</w:t>
      </w:r>
    </w:p>
    <w:p w:rsidR="00774926" w:rsidRPr="00ED156F" w:rsidRDefault="00774926" w:rsidP="00774926">
      <w:pPr>
        <w:pStyle w:val="Bulletline1"/>
        <w:numPr>
          <w:ilvl w:val="0"/>
          <w:numId w:val="24"/>
        </w:numPr>
        <w:rPr>
          <w:rFonts w:eastAsia="Calibri Light"/>
        </w:rPr>
      </w:pPr>
      <w:r w:rsidRPr="00ED156F">
        <w:t>kādas ir domāšanas kļūdas, kas saistītas ar azartspēlēm (piemēram, “spēlētāja maldi”);</w:t>
      </w:r>
    </w:p>
    <w:p w:rsidR="00774926" w:rsidRPr="00ED156F" w:rsidRDefault="00774926" w:rsidP="00774926">
      <w:pPr>
        <w:pStyle w:val="Bulletline1"/>
        <w:numPr>
          <w:ilvl w:val="0"/>
          <w:numId w:val="24"/>
        </w:numPr>
        <w:rPr>
          <w:rFonts w:eastAsia="Calibri Light"/>
        </w:rPr>
      </w:pPr>
      <w:r w:rsidRPr="00ED156F">
        <w:t>cik daudzveidīgs ir ar azartspēlēm saistītais kaitējums un kā saņemt palīdzību pašam un citiem;</w:t>
      </w:r>
    </w:p>
    <w:p w:rsidR="00774926" w:rsidRPr="00ED156F" w:rsidRDefault="00774926" w:rsidP="00774926">
      <w:pPr>
        <w:pStyle w:val="Bulletline1"/>
        <w:numPr>
          <w:ilvl w:val="0"/>
          <w:numId w:val="24"/>
        </w:numPr>
        <w:rPr>
          <w:rFonts w:eastAsia="Calibri Light"/>
          <w:b/>
        </w:rPr>
      </w:pPr>
      <w:r w:rsidRPr="00ED156F">
        <w:t>kāpēc  tiešsaistes azartspēles piedzīvo  uzplaukumu;</w:t>
      </w:r>
    </w:p>
    <w:p w:rsidR="00774926" w:rsidRPr="00ED156F" w:rsidRDefault="00774926" w:rsidP="00774926">
      <w:pPr>
        <w:pStyle w:val="Bulletline1"/>
        <w:numPr>
          <w:ilvl w:val="0"/>
          <w:numId w:val="24"/>
        </w:numPr>
        <w:rPr>
          <w:b/>
        </w:rPr>
      </w:pPr>
      <w:r w:rsidRPr="00ED156F">
        <w:t>kāda ir  saikne starp atkarību un tiešsaistes azartspēļu spēlēšanu;</w:t>
      </w:r>
    </w:p>
    <w:p w:rsidR="00774926" w:rsidRPr="00ED156F" w:rsidRDefault="00774926" w:rsidP="00774926">
      <w:pPr>
        <w:pStyle w:val="Bulletline1"/>
        <w:numPr>
          <w:ilvl w:val="0"/>
          <w:numId w:val="24"/>
        </w:numPr>
      </w:pPr>
      <w:r w:rsidRPr="00ED156F">
        <w:t>kā vienaudži un mediji ietekmē ar azartspēlēm saistīto uzmanību,</w:t>
      </w:r>
    </w:p>
    <w:p w:rsidR="00774926" w:rsidRPr="00ED156F" w:rsidRDefault="00774926" w:rsidP="00774926">
      <w:pPr>
        <w:pStyle w:val="Bulletline1"/>
        <w:numPr>
          <w:ilvl w:val="0"/>
          <w:numId w:val="24"/>
        </w:numPr>
        <w:rPr>
          <w:rFonts w:eastAsia="Calibri Light"/>
          <w:b/>
        </w:rPr>
      </w:pPr>
      <w:r w:rsidRPr="00ED156F">
        <w:t>ko nozīmē un kā tiešsaistē pārvaldīt “impulsivitāti” un “atlikto gandarījumu”.</w:t>
      </w:r>
    </w:p>
    <w:p w:rsidR="00774926" w:rsidRPr="00ED156F" w:rsidRDefault="00774926" w:rsidP="00774926">
      <w:pPr>
        <w:spacing w:after="0"/>
        <w:rPr>
          <w:rFonts w:ascii="Times New Roman" w:hAnsi="Times New Roman" w:cs="Times New Roman"/>
          <w:lang w:val="lv-LV"/>
        </w:rPr>
      </w:pPr>
      <w:r w:rsidRPr="00ED156F">
        <w:rPr>
          <w:rFonts w:ascii="Times New Roman" w:hAnsi="Times New Roman" w:cs="Times New Roman"/>
          <w:b/>
          <w:i/>
          <w:lang w:val="lv-LV"/>
        </w:rPr>
        <w:t>Morālās prasmes: sekmēt šādu morālo ieradumu veidošanos skolēnos:</w:t>
      </w:r>
    </w:p>
    <w:p w:rsidR="00774926" w:rsidRPr="00ED156F" w:rsidRDefault="00774926" w:rsidP="00774926">
      <w:pPr>
        <w:pStyle w:val="bulletline"/>
      </w:pPr>
      <w:r w:rsidRPr="00ED156F">
        <w:t>stiprināt noturību pret domāšanas kļūdām, kas saistītas ar azartspēlēm;</w:t>
      </w:r>
    </w:p>
    <w:p w:rsidR="00774926" w:rsidRPr="00ED156F" w:rsidRDefault="00774926" w:rsidP="00774926">
      <w:pPr>
        <w:pStyle w:val="bulletline"/>
        <w:rPr>
          <w:rFonts w:eastAsia="Calibri Light"/>
        </w:rPr>
      </w:pPr>
      <w:r w:rsidRPr="00ED156F">
        <w:t>noteikt un kontrolēt neveselīgu uzvedību, ieradumus un atkarības un meklēt palīdzību to risināšanai;</w:t>
      </w:r>
    </w:p>
    <w:p w:rsidR="00774926" w:rsidRPr="00ED156F" w:rsidRDefault="00774926" w:rsidP="00774926">
      <w:pPr>
        <w:pStyle w:val="bulletline"/>
        <w:rPr>
          <w:rFonts w:eastAsia="Calibri Light"/>
        </w:rPr>
      </w:pPr>
      <w:r w:rsidRPr="00ED156F">
        <w:t>meklēt piemērotu palīdzību, lai pieņemtu finanšu lēmumus un risinātu ar naudu, azartspēlēm un patērētāju tiesībām saistītos jautājumus;</w:t>
      </w:r>
    </w:p>
    <w:p w:rsidR="00774926" w:rsidRPr="00ED156F" w:rsidRDefault="00774926" w:rsidP="00774926">
      <w:pPr>
        <w:pStyle w:val="bulletline"/>
      </w:pPr>
      <w:r w:rsidRPr="00ED156F">
        <w:t>pilnveidot gribasspēku pretoties negatīviem  impulsiem.</w:t>
      </w:r>
    </w:p>
    <w:p w:rsidR="00774926" w:rsidRPr="00ED156F" w:rsidRDefault="00774926" w:rsidP="00774926">
      <w:pPr>
        <w:spacing w:after="0"/>
        <w:rPr>
          <w:rFonts w:ascii="Times New Roman" w:hAnsi="Times New Roman" w:cs="Times New Roman"/>
          <w:lang w:val="lv-LV"/>
        </w:rPr>
      </w:pPr>
    </w:p>
    <w:p w:rsidR="00774926" w:rsidRPr="00DD19EB" w:rsidRDefault="00774926" w:rsidP="00774926">
      <w:pPr>
        <w:spacing w:after="0"/>
        <w:jc w:val="center"/>
        <w:rPr>
          <w:rFonts w:ascii="Times New Roman" w:hAnsi="Times New Roman" w:cs="Times New Roman"/>
          <w:b/>
          <w:bCs/>
          <w:lang w:val="lv-LV"/>
        </w:rPr>
      </w:pPr>
      <w:r w:rsidRPr="00DD19EB">
        <w:rPr>
          <w:rFonts w:ascii="Times New Roman" w:hAnsi="Times New Roman" w:cs="Times New Roman"/>
          <w:b/>
          <w:bCs/>
          <w:lang w:val="lv-LV"/>
        </w:rPr>
        <w:t>Tēmā aplūkotās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774926" w:rsidRPr="00DD19EB" w:rsidTr="00951E7C">
        <w:tc>
          <w:tcPr>
            <w:tcW w:w="634" w:type="pct"/>
            <w:tcBorders>
              <w:top w:val="single" w:sz="4" w:space="0" w:color="auto"/>
              <w:bottom w:val="single" w:sz="4" w:space="0" w:color="auto"/>
            </w:tcBorders>
          </w:tcPr>
          <w:p w:rsidR="00774926" w:rsidRPr="00DD19EB" w:rsidRDefault="00774926" w:rsidP="00951E7C">
            <w:pPr>
              <w:spacing w:after="0"/>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774926" w:rsidRPr="00DD19EB" w:rsidRDefault="00774926"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774926" w:rsidRPr="00DD19EB" w:rsidRDefault="00774926" w:rsidP="00951E7C">
            <w:pPr>
              <w:spacing w:after="0"/>
              <w:jc w:val="left"/>
              <w:rPr>
                <w:rFonts w:ascii="Times New Roman" w:hAnsi="Times New Roman" w:cs="Times New Roman"/>
                <w:b/>
                <w:bCs/>
                <w:sz w:val="22"/>
                <w:szCs w:val="22"/>
                <w:lang w:val="lv-LV"/>
              </w:rPr>
            </w:pPr>
            <w:r>
              <w:rPr>
                <w:rFonts w:ascii="Times New Roman" w:hAnsi="Times New Roman" w:cs="Times New Roman"/>
                <w:b/>
                <w:bCs/>
                <w:sz w:val="22"/>
                <w:szCs w:val="22"/>
                <w:lang w:val="lv-LV"/>
              </w:rPr>
              <w:t>Papildus no programmas “e-TAP”</w:t>
            </w:r>
          </w:p>
        </w:tc>
      </w:tr>
      <w:tr w:rsidR="00774926" w:rsidRPr="00DD19EB" w:rsidTr="00951E7C">
        <w:tc>
          <w:tcPr>
            <w:tcW w:w="634" w:type="pct"/>
            <w:tcBorders>
              <w:top w:val="single" w:sz="4" w:space="0" w:color="auto"/>
            </w:tcBorders>
          </w:tcPr>
          <w:p w:rsidR="00774926" w:rsidRPr="00DD19EB" w:rsidRDefault="00774926"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Vērtības</w:t>
            </w:r>
          </w:p>
        </w:tc>
        <w:tc>
          <w:tcPr>
            <w:tcW w:w="2183" w:type="pct"/>
            <w:tcBorders>
              <w:top w:val="single" w:sz="4" w:space="0" w:color="auto"/>
            </w:tcBorders>
          </w:tcPr>
          <w:p w:rsidR="00774926" w:rsidRPr="0038587D" w:rsidRDefault="00774926" w:rsidP="00951E7C">
            <w:pPr>
              <w:pStyle w:val="Tabuaiek"/>
              <w:rPr>
                <w:sz w:val="22"/>
                <w:szCs w:val="22"/>
              </w:rPr>
            </w:pPr>
            <w:r w:rsidRPr="0038587D">
              <w:rPr>
                <w:sz w:val="22"/>
                <w:szCs w:val="22"/>
              </w:rPr>
              <w:t>Darbs, cilvēka cieņa, brīvība</w:t>
            </w:r>
          </w:p>
        </w:tc>
        <w:tc>
          <w:tcPr>
            <w:tcW w:w="2183" w:type="pct"/>
            <w:tcBorders>
              <w:top w:val="single" w:sz="4" w:space="0" w:color="auto"/>
            </w:tcBorders>
          </w:tcPr>
          <w:p w:rsidR="00774926" w:rsidRPr="0038587D" w:rsidRDefault="00774926" w:rsidP="00951E7C">
            <w:pPr>
              <w:pStyle w:val="Tabuaiek"/>
              <w:rPr>
                <w:sz w:val="22"/>
                <w:szCs w:val="22"/>
              </w:rPr>
            </w:pPr>
            <w:r w:rsidRPr="0038587D">
              <w:rPr>
                <w:sz w:val="22"/>
                <w:szCs w:val="22"/>
              </w:rPr>
              <w:t>Brīvība, patiesība, miers</w:t>
            </w:r>
          </w:p>
        </w:tc>
      </w:tr>
      <w:tr w:rsidR="00774926" w:rsidRPr="00DD19EB" w:rsidTr="00951E7C">
        <w:tc>
          <w:tcPr>
            <w:tcW w:w="634" w:type="pct"/>
            <w:tcBorders>
              <w:bottom w:val="single" w:sz="4" w:space="0" w:color="auto"/>
            </w:tcBorders>
          </w:tcPr>
          <w:p w:rsidR="00774926" w:rsidRPr="00DD19EB" w:rsidRDefault="00774926" w:rsidP="00951E7C">
            <w:pPr>
              <w:spacing w:after="0"/>
              <w:jc w:val="left"/>
              <w:rPr>
                <w:rFonts w:ascii="Times New Roman" w:hAnsi="Times New Roman" w:cs="Times New Roman"/>
                <w:b/>
                <w:bCs/>
                <w:sz w:val="22"/>
                <w:szCs w:val="22"/>
                <w:lang w:val="lv-LV"/>
              </w:rPr>
            </w:pPr>
            <w:r w:rsidRPr="00DD19EB">
              <w:rPr>
                <w:rFonts w:ascii="Times New Roman" w:hAnsi="Times New Roman" w:cs="Times New Roman"/>
                <w:b/>
                <w:bCs/>
                <w:sz w:val="22"/>
                <w:szCs w:val="22"/>
                <w:lang w:val="lv-LV"/>
              </w:rPr>
              <w:t>Tikumi</w:t>
            </w:r>
          </w:p>
        </w:tc>
        <w:tc>
          <w:tcPr>
            <w:tcW w:w="2183" w:type="pct"/>
            <w:tcBorders>
              <w:bottom w:val="single" w:sz="4" w:space="0" w:color="auto"/>
            </w:tcBorders>
          </w:tcPr>
          <w:p w:rsidR="00774926" w:rsidRPr="0038587D" w:rsidRDefault="00774926" w:rsidP="00951E7C">
            <w:pPr>
              <w:pStyle w:val="Tabuaiek"/>
              <w:rPr>
                <w:sz w:val="22"/>
                <w:szCs w:val="22"/>
              </w:rPr>
            </w:pPr>
            <w:r w:rsidRPr="0038587D">
              <w:rPr>
                <w:sz w:val="22"/>
                <w:szCs w:val="22"/>
              </w:rPr>
              <w:t>Mērenība, savaldība, godīgums, atbildība, gudrība, drosme</w:t>
            </w:r>
          </w:p>
        </w:tc>
        <w:tc>
          <w:tcPr>
            <w:tcW w:w="2183" w:type="pct"/>
            <w:tcBorders>
              <w:bottom w:val="single" w:sz="4" w:space="0" w:color="auto"/>
            </w:tcBorders>
          </w:tcPr>
          <w:p w:rsidR="00774926" w:rsidRPr="0038587D" w:rsidRDefault="00774926" w:rsidP="00951E7C">
            <w:pPr>
              <w:pStyle w:val="Tabuaiek"/>
              <w:rPr>
                <w:sz w:val="22"/>
                <w:szCs w:val="22"/>
              </w:rPr>
            </w:pPr>
            <w:r w:rsidRPr="0038587D">
              <w:rPr>
                <w:sz w:val="22"/>
                <w:szCs w:val="22"/>
              </w:rPr>
              <w:t>Iejūtība,  pašiedziļināšanās, pārliecinātība, pašvadība, apņēmīgums</w:t>
            </w:r>
          </w:p>
        </w:tc>
      </w:tr>
    </w:tbl>
    <w:p w:rsidR="00774926" w:rsidRPr="00024279" w:rsidRDefault="00774926" w:rsidP="00774926">
      <w:pPr>
        <w:spacing w:after="0"/>
        <w:rPr>
          <w:rFonts w:eastAsia="Segoe UI Symbol"/>
          <w:b/>
        </w:rPr>
      </w:pPr>
    </w:p>
    <w:p w:rsidR="00774926" w:rsidRPr="00ED156F" w:rsidRDefault="00774926" w:rsidP="00774926">
      <w:pPr>
        <w:spacing w:after="0"/>
        <w:rPr>
          <w:rFonts w:ascii="Times New Roman" w:hAnsi="Times New Roman" w:cs="Times New Roman"/>
          <w:b/>
          <w:lang w:val="lv-LV"/>
        </w:rPr>
      </w:pPr>
      <w:r w:rsidRPr="00ED156F">
        <w:rPr>
          <w:rFonts w:ascii="Times New Roman" w:hAnsi="Times New Roman" w:cs="Times New Roman"/>
          <w:b/>
          <w:lang w:val="lv-LV"/>
        </w:rPr>
        <w:t>Tikumu praktizēšanas iespējas</w:t>
      </w:r>
    </w:p>
    <w:p w:rsidR="00774926" w:rsidRPr="00ED156F" w:rsidRDefault="00774926" w:rsidP="00774926">
      <w:pPr>
        <w:pStyle w:val="bulletline"/>
      </w:pPr>
      <w:r w:rsidRPr="00ED156F">
        <w:t>“Līgums ar sevi” –  katrs skolēns saņem īpaši labas kvalitātes papīra lapu un tiek aicināts noslēgt līgumu ar sevi. Līguma priekšmets paredz konkrētu uzvedību un sekas turpmāko 14 dienu laikā. Ir jāparedz konkrēti izpildes termiņi, un plānam ir jābūt pēc iespējas detalizētam, lai to varētu saprast arī cilvēks no malas. Līgumā ir jāparedz arī iespējamā atlīdzība jeb ieguvums no līguma izpildes. Tā var būt balva, kas apliecina prieku par pieliktajām pūlēm un sasniegtajiem rezultātiem. Gatavo līgumu paraksta skolotājs un skolēns</w:t>
      </w:r>
      <w:r>
        <w:t xml:space="preserve"> (</w:t>
      </w:r>
      <w:hyperlink r:id="rId11">
        <w:r w:rsidRPr="00ED156F">
          <w:rPr>
            <w:rStyle w:val="Hyperlink"/>
          </w:rPr>
          <w:t>https://www.viaa.gov.lv/lv/media/2633/download</w:t>
        </w:r>
      </w:hyperlink>
      <w:r>
        <w:t>).</w:t>
      </w:r>
    </w:p>
    <w:p w:rsidR="00774926" w:rsidRPr="00ED156F" w:rsidRDefault="00774926" w:rsidP="00774926">
      <w:pPr>
        <w:spacing w:after="0"/>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B02" w:rsidRDefault="00472B02" w:rsidP="00FE37EB">
      <w:pPr>
        <w:spacing w:after="0"/>
      </w:pPr>
      <w:r>
        <w:separator/>
      </w:r>
    </w:p>
  </w:endnote>
  <w:endnote w:type="continuationSeparator" w:id="0">
    <w:p w:rsidR="00472B02" w:rsidRDefault="00472B02" w:rsidP="00FE37EB">
      <w:pPr>
        <w:spacing w:after="0"/>
      </w:pPr>
      <w:r>
        <w:continuationSeparator/>
      </w:r>
    </w:p>
  </w:endnote>
  <w:endnote w:type="continuationNotice" w:id="1">
    <w:p w:rsidR="00472B02" w:rsidRDefault="00472B02">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B02" w:rsidRDefault="00472B02" w:rsidP="00FE37EB">
      <w:pPr>
        <w:spacing w:after="0"/>
      </w:pPr>
      <w:r>
        <w:separator/>
      </w:r>
    </w:p>
  </w:footnote>
  <w:footnote w:type="continuationSeparator" w:id="0">
    <w:p w:rsidR="00472B02" w:rsidRDefault="00472B02" w:rsidP="00FE37EB">
      <w:pPr>
        <w:spacing w:after="0"/>
      </w:pPr>
      <w:r>
        <w:continuationSeparator/>
      </w:r>
    </w:p>
  </w:footnote>
  <w:footnote w:type="continuationNotice" w:id="1">
    <w:p w:rsidR="00472B02" w:rsidRDefault="00472B0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26" w:rsidRPr="00E76BC6" w:rsidRDefault="00774926" w:rsidP="00E76BC6">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-60325</wp:posOffset>
          </wp:positionV>
          <wp:extent cx="800100" cy="333375"/>
          <wp:effectExtent l="0" t="0" r="0" b="0"/>
          <wp:wrapNone/>
          <wp:docPr id="14066742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E76BC6">
      <w:t>TĒMAS LAPA</w:t>
    </w:r>
  </w:p>
  <w:p w:rsidR="00774926" w:rsidRPr="00E76BC6" w:rsidRDefault="00774926" w:rsidP="00E76BC6">
    <w:pPr>
      <w:pStyle w:val="A-galvene"/>
    </w:pPr>
  </w:p>
  <w:p w:rsidR="00774926" w:rsidRPr="00E76BC6" w:rsidRDefault="00774926" w:rsidP="00E76BC6">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472B02"/>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2B02"/>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4926"/>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1E7"/>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26"/>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774926"/>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774926"/>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aa.gov.lv/lv/media/2633/downloa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62E55DF7-72DE-4E0E-B0F6-2BD53FDF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1389</Words>
  <Characters>793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2021-10-15T09:29:00Z</dcterms:created>
  <dcterms:modified xsi:type="dcterms:W3CDTF">2021-10-15T09:30:00Z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